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400" w:lineRule="auto"/>
        <w:rPr/>
      </w:pPr>
      <w:bookmarkStart w:colFirst="0" w:colLast="0" w:name="_heading=h.2ybe2nstx9m3" w:id="0"/>
      <w:bookmarkEnd w:id="0"/>
      <w:r w:rsidDel="00000000" w:rsidR="00000000" w:rsidRPr="00000000">
        <w:rPr>
          <w:rtl w:val="0"/>
        </w:rPr>
        <w:t xml:space="preserve">Van Kerndoel naar leerplan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Met behulp van deze stappen kun je stap voor stap werken vanuit de kerndoelen naar een leerplan. Gebruik dit als richtlijn om uiteindelijk tot een mooi curriculum te komen.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00" w:lineRule="auto"/>
        <w:rPr>
          <w:sz w:val="36"/>
          <w:szCs w:val="36"/>
        </w:rPr>
      </w:pPr>
      <w:bookmarkStart w:colFirst="0" w:colLast="0" w:name="_heading=h.zi3h3a7c3x32" w:id="1"/>
      <w:bookmarkEnd w:id="1"/>
      <w:r w:rsidDel="00000000" w:rsidR="00000000" w:rsidRPr="00000000">
        <w:rPr>
          <w:rFonts w:ascii="Vollkorn" w:cs="Vollkorn" w:eastAsia="Vollkorn" w:hAnsi="Vollkorn"/>
          <w:color w:val="ffffff"/>
          <w:sz w:val="40"/>
          <w:szCs w:val="4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6791325</wp:posOffset>
            </wp:positionH>
            <wp:positionV relativeFrom="page">
              <wp:posOffset>1635018</wp:posOffset>
            </wp:positionV>
            <wp:extent cx="619125" cy="752475"/>
            <wp:effectExtent b="0" l="0" r="0" t="0"/>
            <wp:wrapNone/>
            <wp:docPr descr="Curriculum Playground icon" id="2" name="image2.png"/>
            <a:graphic>
              <a:graphicData uri="http://schemas.openxmlformats.org/drawingml/2006/picture">
                <pic:pic>
                  <pic:nvPicPr>
                    <pic:cNvPr descr="Curriculum Playground icon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36"/>
          <w:szCs w:val="36"/>
          <w:rtl w:val="0"/>
        </w:rPr>
        <w:t xml:space="preserve">Stap 1: Kerndoel analyseren</w:t>
      </w:r>
    </w:p>
    <w:p w:rsidR="00000000" w:rsidDel="00000000" w:rsidP="00000000" w:rsidRDefault="00000000" w:rsidRPr="00000000" w14:paraId="00000004">
      <w:pPr>
        <w:spacing w:after="100" w:lineRule="auto"/>
        <w:rPr/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777777"/>
          <w:sz w:val="18"/>
          <w:szCs w:val="18"/>
          <w:rtl w:val="0"/>
        </w:rPr>
        <w:t xml:space="preserve">Lees het kerndoel hardop voor. Bespreek samen: wat zit erin aan kennis, vaardigheden en houding? Kopieer dit blok voor elk kerndoel.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5840"/>
        <w:tblGridChange w:id="0">
          <w:tblGrid>
            <w:gridCol w:w="2800"/>
            <w:gridCol w:w="5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Onderdeel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Invulling door de sectie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Kerndoel (nr + tekst)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Kopieer hier het kerndoel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Wat bedoelen ze?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Beschrijf in eigen woorden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Kennis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Welke kennis en concepten?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Vaardigheden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Welke vaardigheden?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Houding / attitude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Houdings- of attitudecomponent?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Raakvlakken andere vakken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Burgerschap, dig. geletterdheid,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>
          <w:sz w:val="36"/>
          <w:szCs w:val="36"/>
        </w:rPr>
      </w:pPr>
      <w:bookmarkStart w:colFirst="0" w:colLast="0" w:name="_heading=h.r7numdai0ri8" w:id="2"/>
      <w:bookmarkEnd w:id="2"/>
      <w:r w:rsidDel="00000000" w:rsidR="00000000" w:rsidRPr="00000000">
        <w:rPr>
          <w:sz w:val="36"/>
          <w:szCs w:val="36"/>
          <w:rtl w:val="0"/>
        </w:rPr>
        <w:t xml:space="preserve">Stap 2: Leerlijn per leerjaar</w:t>
      </w:r>
    </w:p>
    <w:p w:rsidR="00000000" w:rsidDel="00000000" w:rsidP="00000000" w:rsidRDefault="00000000" w:rsidRPr="00000000" w14:paraId="00000015">
      <w:pPr>
        <w:spacing w:after="100" w:lineRule="auto"/>
        <w:rPr/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777777"/>
          <w:sz w:val="18"/>
          <w:szCs w:val="18"/>
          <w:rtl w:val="0"/>
        </w:rPr>
        <w:t xml:space="preserve">Redeneer achteruit (backward design): wat moeten leerlingen aan het einde van elk leerjaar kunnen?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2146"/>
        <w:gridCol w:w="2146"/>
        <w:gridCol w:w="2148"/>
        <w:tblGridChange w:id="0">
          <w:tblGrid>
            <w:gridCol w:w="2200"/>
            <w:gridCol w:w="2146"/>
            <w:gridCol w:w="2146"/>
            <w:gridCol w:w="21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Leerjaar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Leerjaar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Leerjaar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Fase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Introductie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Verdieping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Consolidatie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Leerdoelen (meso)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Einde leerjaar 1?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Einde leerjaar 2?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Einde leerjaar 3?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Tussenstappen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Welke stappen?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Welke stappen?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Welke stappen?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Werkvormen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Hoe aanbieden?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Hoe aanbieden?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Hoe aanbieden?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Lesmaterialen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Methode, bronnen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Methode, bronnen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Methode, bronnen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1"/>
        <w:rPr>
          <w:sz w:val="36"/>
          <w:szCs w:val="36"/>
        </w:rPr>
      </w:pPr>
      <w:bookmarkStart w:colFirst="0" w:colLast="0" w:name="_heading=h.t0ld1hvgm7qi" w:id="3"/>
      <w:bookmarkEnd w:id="3"/>
      <w:r w:rsidDel="00000000" w:rsidR="00000000" w:rsidRPr="00000000">
        <w:rPr>
          <w:sz w:val="36"/>
          <w:szCs w:val="36"/>
          <w:rtl w:val="0"/>
        </w:rPr>
        <w:t xml:space="preserve">Stap 3: Toetsing en constructieve afstemming</w:t>
      </w:r>
    </w:p>
    <w:p w:rsidR="00000000" w:rsidDel="00000000" w:rsidP="00000000" w:rsidRDefault="00000000" w:rsidRPr="00000000" w14:paraId="0000002F">
      <w:pPr>
        <w:spacing w:after="100" w:lineRule="auto"/>
        <w:rPr/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777777"/>
          <w:sz w:val="18"/>
          <w:szCs w:val="18"/>
          <w:rtl w:val="0"/>
        </w:rPr>
        <w:t xml:space="preserve">Sluit je toetsing aan bij de kerndoelen? Voorkom de Twin Sins.</w:t>
      </w: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400"/>
        <w:gridCol w:w="4240"/>
        <w:tblGridChange w:id="0">
          <w:tblGrid>
            <w:gridCol w:w="2000"/>
            <w:gridCol w:w="2400"/>
            <w:gridCol w:w="4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Leerjaar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Toetsvorm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Koppeling kerndoel/leerdoel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Leerjaar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Formatief, summatief, portfolio...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Welk leerdoel toets je?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Leerjaar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Leerjaar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rPr>
          <w:sz w:val="36"/>
          <w:szCs w:val="36"/>
        </w:rPr>
      </w:pPr>
      <w:bookmarkStart w:colFirst="0" w:colLast="0" w:name="_heading=h.st4jag3amcg5" w:id="4"/>
      <w:bookmarkEnd w:id="4"/>
      <w:r w:rsidDel="00000000" w:rsidR="00000000" w:rsidRPr="00000000">
        <w:rPr>
          <w:sz w:val="36"/>
          <w:szCs w:val="36"/>
          <w:rtl w:val="0"/>
        </w:rPr>
        <w:t xml:space="preserve">Stap 4: Reflectie en vakoverstijgende samenhang</w:t>
      </w:r>
    </w:p>
    <w:p w:rsidR="00000000" w:rsidDel="00000000" w:rsidP="00000000" w:rsidRDefault="00000000" w:rsidRPr="00000000" w14:paraId="0000003E">
      <w:pPr>
        <w:spacing w:after="100" w:lineRule="auto"/>
        <w:rPr/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777777"/>
          <w:sz w:val="18"/>
          <w:szCs w:val="18"/>
          <w:rtl w:val="0"/>
        </w:rPr>
        <w:t xml:space="preserve">Klopt het geheel? Werk je echt toe naar wat het kerndoel vraagt?</w:t>
      </w: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3240"/>
        <w:tblGridChange w:id="0">
          <w:tblGrid>
            <w:gridCol w:w="540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Reflectievraag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a86e8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Notitie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Als een leerling dit kerndoel bereikt heeft, wat kan die dan aantonen?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Werkt ons leerplan hier echt naartoe?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Sluit onze toetsing aan? (Twin Sins check)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Welke vakoverstijgende afspraken zijn nodig?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Wat is de eerstvolgende actie?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15.0" w:type="dxa"/>
              <w:bottom w:w="6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60" w:lineRule="auto"/>
        <w:rPr/>
      </w:pPr>
      <w:r w:rsidDel="00000000" w:rsidR="00000000" w:rsidRPr="00000000">
        <w:rPr>
          <w:rFonts w:ascii="Vollkorn" w:cs="Vollkorn" w:eastAsia="Vollkorn" w:hAnsi="Vollkorn"/>
          <w:b w:val="1"/>
          <w:bCs w:val="1"/>
          <w:color w:val="4f81bd"/>
          <w:sz w:val="26"/>
          <w:szCs w:val="26"/>
          <w:rtl w:val="0"/>
        </w:rPr>
        <w:t xml:space="preserve">Tip: gebruik Curriculum Playground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In Curriculum Playground kun je kerndoelen koppelen aan leerresultaten, de leerlijn visualiseren en met de dekkingsmatrix controleren of alles gedekt is. Ga naar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curriculumplayground.nl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of plan een demo via 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vwijs.nl/demo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ollkor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Curriculum Playground - Van kerndoel naar leerplan VO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6715125</wp:posOffset>
          </wp:positionH>
          <wp:positionV relativeFrom="page">
            <wp:posOffset>95252</wp:posOffset>
          </wp:positionV>
          <wp:extent cx="771525" cy="266700"/>
          <wp:effectExtent b="0" l="0" r="0" t="0"/>
          <wp:wrapNone/>
          <wp:docPr descr="Curriculum Playground logo" id="3" name="image1.png"/>
          <a:graphic>
            <a:graphicData uri="http://schemas.openxmlformats.org/drawingml/2006/picture">
              <pic:pic>
                <pic:nvPicPr>
                  <pic:cNvPr descr="Curriculum Playground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26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Vollkorn" w:cs="Vollkorn" w:eastAsia="Vollkorn" w:hAnsi="Vollkorn"/>
      <w:b w:val="1"/>
      <w:bCs w:val="1"/>
      <w:i w:val="0"/>
      <w:iCs w:val="0"/>
      <w:smallCaps w:val="0"/>
      <w:strike w:val="0"/>
      <w:color w:val="000000"/>
      <w:sz w:val="44"/>
      <w:szCs w:val="4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left"/>
    </w:pPr>
    <w:rPr>
      <w:rFonts w:ascii="Vollkorn" w:cs="Vollkorn" w:eastAsia="Vollkorn" w:hAnsi="Vollkorn"/>
      <w:b w:val="1"/>
      <w:bCs w:val="1"/>
      <w:i w:val="0"/>
      <w:iCs w:val="0"/>
      <w:smallCaps w:val="0"/>
      <w:strike w:val="0"/>
      <w:color w:val="4f81bd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left"/>
    </w:pPr>
    <w:rPr>
      <w:rFonts w:ascii="Poppins" w:cs="Poppins" w:eastAsia="Poppins" w:hAnsi="Poppin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left"/>
    </w:pPr>
    <w:rPr>
      <w:rFonts w:ascii="Poppins" w:cs="Poppins" w:eastAsia="Poppins" w:hAnsi="Poppins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left"/>
    </w:pPr>
    <w:rPr>
      <w:rFonts w:ascii="Poppins" w:cs="Poppins" w:eastAsia="Poppins" w:hAnsi="Poppins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left"/>
    </w:pPr>
    <w:rPr>
      <w:rFonts w:ascii="Poppins" w:cs="Poppins" w:eastAsia="Poppins" w:hAnsi="Poppins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left"/>
    </w:pPr>
    <w:rPr>
      <w:rFonts w:ascii="Poppins" w:cs="Poppins" w:eastAsia="Poppins" w:hAnsi="Poppins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vwijs.nl/dem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curriculumplayground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ollkorn-regular.ttf"/><Relationship Id="rId2" Type="http://schemas.openxmlformats.org/officeDocument/2006/relationships/font" Target="fonts/Vollkorn-bold.ttf"/><Relationship Id="rId3" Type="http://schemas.openxmlformats.org/officeDocument/2006/relationships/font" Target="fonts/Vollkorn-italic.ttf"/><Relationship Id="rId4" Type="http://schemas.openxmlformats.org/officeDocument/2006/relationships/font" Target="fonts/Vollkorn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+SrwF04mQm0mLt0KuRorx9jmg==">CgMxLjAyDmguMnliZTJuc3R4OW0zMg5oLnppM2gzYTdjM3gzMjIOaC5yN251bWRhaTByaTgyDmgudDBsZDFodmdtN3FpMg5oLnN0NGphZzNhbWNnNTgAciExOGpJSjdMM25JZHBiZ3BKdDRsVEVGdWdreUIwMjQzMms=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2026-04-03T08:19:20.994Z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